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B766" w14:textId="77777777" w:rsidR="00903D22" w:rsidRDefault="00A439D1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14:paraId="7189B767" w14:textId="21FF511A" w:rsidR="00903D22" w:rsidRDefault="00A439D1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8E6F58">
        <w:rPr>
          <w:rFonts w:ascii="Times New Roman" w:hAnsi="Times New Roman"/>
          <w:b/>
          <w:sz w:val="28"/>
          <w:szCs w:val="28"/>
        </w:rPr>
        <w:t>БЕЛОПРУДСКОГО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7189B768" w14:textId="77777777" w:rsidR="00903D22" w:rsidRDefault="00A439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189B7DE" wp14:editId="7189B7DF">
                <wp:simplePos x="0" y="0"/>
                <wp:positionH relativeFrom="column">
                  <wp:posOffset>27940</wp:posOffset>
                </wp:positionH>
                <wp:positionV relativeFrom="paragraph">
                  <wp:posOffset>172085</wp:posOffset>
                </wp:positionV>
                <wp:extent cx="5991225" cy="9525"/>
                <wp:effectExtent l="0" t="0" r="0" b="0"/>
                <wp:wrapNone/>
                <wp:docPr id="1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0760" cy="39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2pt,13.4pt" to="473.85pt,13.65pt" ID="Фигура1" stroked="t" style="position:absolute">
                <v:stroke color="black" weight="363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189B7E0" wp14:editId="7189B7E1">
                <wp:simplePos x="0" y="0"/>
                <wp:positionH relativeFrom="column">
                  <wp:posOffset>37465</wp:posOffset>
                </wp:positionH>
                <wp:positionV relativeFrom="paragraph">
                  <wp:posOffset>229235</wp:posOffset>
                </wp:positionV>
                <wp:extent cx="5991225" cy="9525"/>
                <wp:effectExtent l="0" t="0" r="0" b="0"/>
                <wp:wrapNone/>
                <wp:docPr id="2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0760" cy="39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95pt,17.9pt" to="474.6pt,18.15pt" ID="Фигура2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 w14:paraId="17724327" w14:textId="77777777" w:rsidR="006A0C2E" w:rsidRDefault="006A0C2E" w:rsidP="006A0C2E">
      <w:pPr>
        <w:suppressAutoHyphens/>
        <w:outlineLvl w:val="0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14:paraId="7189B76A" w14:textId="592FBCFE" w:rsidR="00903D22" w:rsidRDefault="00A439D1" w:rsidP="006A0C2E">
      <w:pPr>
        <w:suppressAutoHyphens/>
        <w:outlineLvl w:val="0"/>
      </w:pPr>
      <w:r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>от «2</w:t>
      </w:r>
      <w:r w:rsidR="008E6F58"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>5</w:t>
      </w:r>
      <w:r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>» апреля 2022</w:t>
      </w:r>
      <w:r>
        <w:rPr>
          <w:rFonts w:ascii="Times New Roman" w:hAnsi="Times New Roman"/>
          <w:b/>
          <w:bCs/>
          <w:color w:val="auto"/>
          <w:spacing w:val="7"/>
          <w:sz w:val="28"/>
          <w:szCs w:val="28"/>
          <w:lang w:eastAsia="zh-CN"/>
        </w:rPr>
        <w:t xml:space="preserve">г.         </w:t>
      </w:r>
      <w:r w:rsidR="006A0C2E">
        <w:rPr>
          <w:rFonts w:ascii="Times New Roman" w:hAnsi="Times New Roman"/>
          <w:b/>
          <w:bCs/>
          <w:color w:val="auto"/>
          <w:spacing w:val="7"/>
          <w:sz w:val="28"/>
          <w:szCs w:val="28"/>
          <w:lang w:eastAsia="zh-CN"/>
        </w:rPr>
        <w:t xml:space="preserve">          </w:t>
      </w:r>
      <w:r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>№</w:t>
      </w:r>
      <w:r>
        <w:rPr>
          <w:rFonts w:ascii="Times New Roman" w:hAnsi="Times New Roman"/>
          <w:b/>
          <w:bCs/>
          <w:color w:val="auto"/>
          <w:spacing w:val="7"/>
          <w:sz w:val="28"/>
          <w:szCs w:val="28"/>
          <w:lang w:eastAsia="zh-CN"/>
        </w:rPr>
        <w:t xml:space="preserve"> </w:t>
      </w:r>
      <w:r w:rsidR="006A0C2E">
        <w:rPr>
          <w:rFonts w:ascii="Times New Roman" w:hAnsi="Times New Roman"/>
          <w:b/>
          <w:bCs/>
          <w:color w:val="auto"/>
          <w:spacing w:val="7"/>
          <w:sz w:val="28"/>
          <w:szCs w:val="28"/>
          <w:lang w:eastAsia="zh-CN"/>
        </w:rPr>
        <w:t>19-п</w:t>
      </w:r>
    </w:p>
    <w:p w14:paraId="7189B76B" w14:textId="77777777" w:rsidR="00903D22" w:rsidRDefault="00903D22">
      <w:pPr>
        <w:rPr>
          <w:rFonts w:ascii="Times New Roman" w:hAnsi="Times New Roman"/>
          <w:sz w:val="28"/>
        </w:rPr>
      </w:pPr>
    </w:p>
    <w:p w14:paraId="7189B76C" w14:textId="3B3BA35D" w:rsidR="00903D22" w:rsidRDefault="00A439D1">
      <w:pPr>
        <w:shd w:val="clear" w:color="auto" w:fill="FFFFFF"/>
        <w:jc w:val="both"/>
        <w:textAlignment w:val="baseline"/>
      </w:pPr>
      <w:r>
        <w:rPr>
          <w:rFonts w:ascii="Times New Roman" w:hAnsi="Times New Roman"/>
          <w:b/>
          <w:sz w:val="28"/>
        </w:rPr>
        <w:t xml:space="preserve">«О внесении изменений в </w:t>
      </w:r>
      <w:r>
        <w:rPr>
          <w:rFonts w:ascii="Times New Roman" w:hAnsi="Times New Roman"/>
          <w:b/>
          <w:bCs/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proofErr w:type="gramStart"/>
      <w:r w:rsidR="00031282">
        <w:rPr>
          <w:rFonts w:ascii="Times New Roman" w:hAnsi="Times New Roman"/>
          <w:b/>
          <w:bCs/>
          <w:sz w:val="28"/>
          <w:szCs w:val="28"/>
        </w:rPr>
        <w:t>Белопрудского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поселения на 2022 год, утвержденную постановлением администрации </w:t>
      </w:r>
      <w:proofErr w:type="spellStart"/>
      <w:r w:rsidR="00031282">
        <w:rPr>
          <w:rFonts w:ascii="Times New Roman" w:hAnsi="Times New Roman"/>
          <w:b/>
          <w:bCs/>
          <w:sz w:val="28"/>
          <w:szCs w:val="28"/>
        </w:rPr>
        <w:t>Белопрудского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Даниловского муниципального района Волгоградской области от </w:t>
      </w:r>
      <w:r w:rsidR="00DC0E6C">
        <w:rPr>
          <w:rFonts w:ascii="Times New Roman" w:hAnsi="Times New Roman"/>
          <w:b/>
          <w:bCs/>
          <w:sz w:val="28"/>
          <w:szCs w:val="28"/>
        </w:rPr>
        <w:t>02</w:t>
      </w:r>
      <w:r>
        <w:rPr>
          <w:rFonts w:ascii="Times New Roman" w:hAnsi="Times New Roman"/>
          <w:b/>
          <w:bCs/>
          <w:sz w:val="28"/>
          <w:szCs w:val="28"/>
        </w:rPr>
        <w:t>.1</w:t>
      </w:r>
      <w:r w:rsidR="00DC0E6C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.2021 года №5</w:t>
      </w:r>
      <w:r w:rsidR="00552DC5">
        <w:rPr>
          <w:rFonts w:ascii="Times New Roman" w:hAnsi="Times New Roman"/>
          <w:b/>
          <w:bCs/>
          <w:sz w:val="28"/>
          <w:szCs w:val="28"/>
        </w:rPr>
        <w:t>6-п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7189B76D" w14:textId="77777777" w:rsidR="00903D22" w:rsidRDefault="00903D22">
      <w:pPr>
        <w:ind w:right="3544"/>
        <w:jc w:val="both"/>
        <w:rPr>
          <w:rFonts w:ascii="Times New Roman" w:hAnsi="Times New Roman"/>
          <w:sz w:val="28"/>
        </w:rPr>
      </w:pPr>
    </w:p>
    <w:p w14:paraId="7189B76E" w14:textId="77777777" w:rsidR="00903D22" w:rsidRDefault="00903D22">
      <w:pPr>
        <w:ind w:right="3544"/>
        <w:jc w:val="both"/>
        <w:rPr>
          <w:rFonts w:ascii="Times New Roman" w:hAnsi="Times New Roman"/>
          <w:sz w:val="28"/>
        </w:rPr>
      </w:pPr>
    </w:p>
    <w:p w14:paraId="7189B76F" w14:textId="116911C3" w:rsidR="00903D22" w:rsidRDefault="00A439D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Федеральными законами 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в целях реализации мероприятий, изложенных в </w:t>
      </w:r>
      <w:r>
        <w:rPr>
          <w:rFonts w:ascii="Times New Roman" w:hAnsi="Times New Roman"/>
          <w:sz w:val="28"/>
          <w:szCs w:val="28"/>
        </w:rPr>
        <w:t xml:space="preserve">протоколе </w:t>
      </w:r>
      <w:r>
        <w:rPr>
          <w:rFonts w:ascii="Times New Roman" w:hAnsi="Times New Roman"/>
          <w:bCs/>
          <w:sz w:val="28"/>
          <w:szCs w:val="28"/>
        </w:rPr>
        <w:t xml:space="preserve">заседания </w:t>
      </w:r>
      <w:r>
        <w:rPr>
          <w:rFonts w:ascii="Times New Roman" w:eastAsia="Calibri" w:hAnsi="Times New Roman"/>
          <w:sz w:val="28"/>
          <w:szCs w:val="28"/>
        </w:rPr>
        <w:t xml:space="preserve">рабочей группы </w:t>
      </w:r>
      <w:r>
        <w:rPr>
          <w:rFonts w:ascii="Times New Roman" w:hAnsi="Times New Roman"/>
          <w:sz w:val="28"/>
          <w:szCs w:val="28"/>
        </w:rPr>
        <w:t xml:space="preserve">Комитета экономической политики и развития Волгоградской области </w:t>
      </w:r>
      <w:r>
        <w:rPr>
          <w:rFonts w:ascii="Times New Roman" w:eastAsia="Calibri" w:hAnsi="Times New Roman"/>
          <w:sz w:val="28"/>
          <w:szCs w:val="28"/>
        </w:rPr>
        <w:t>от 05.04.2022 года №АСП-99</w:t>
      </w:r>
      <w:r>
        <w:rPr>
          <w:rFonts w:ascii="Times New Roman" w:hAnsi="Times New Roman"/>
          <w:sz w:val="28"/>
        </w:rPr>
        <w:t xml:space="preserve">, руководствуясь Уставом </w:t>
      </w:r>
      <w:proofErr w:type="spellStart"/>
      <w:r w:rsidR="00031282">
        <w:rPr>
          <w:rFonts w:ascii="Times New Roman" w:hAnsi="Times New Roman"/>
          <w:sz w:val="28"/>
          <w:szCs w:val="28"/>
        </w:rPr>
        <w:t>Белопрудского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</w:rPr>
        <w:t xml:space="preserve">сельского поселения, администрация </w:t>
      </w:r>
      <w:proofErr w:type="spellStart"/>
      <w:r w:rsidR="00031282">
        <w:rPr>
          <w:rFonts w:ascii="Times New Roman" w:hAnsi="Times New Roman"/>
          <w:sz w:val="28"/>
          <w:szCs w:val="28"/>
        </w:rPr>
        <w:t>Белопрудского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</w:rPr>
        <w:t xml:space="preserve">сельского поселения, </w:t>
      </w:r>
    </w:p>
    <w:p w14:paraId="7189B770" w14:textId="77777777" w:rsidR="00903D22" w:rsidRDefault="00903D22">
      <w:pPr>
        <w:ind w:firstLine="709"/>
        <w:jc w:val="both"/>
        <w:rPr>
          <w:rFonts w:ascii="Times New Roman" w:hAnsi="Times New Roman"/>
          <w:b/>
          <w:sz w:val="28"/>
        </w:rPr>
      </w:pPr>
    </w:p>
    <w:p w14:paraId="7189B771" w14:textId="77777777" w:rsidR="00903D22" w:rsidRDefault="00A439D1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ПОСТАНОВЛЯЕТ:</w:t>
      </w:r>
    </w:p>
    <w:p w14:paraId="7189B772" w14:textId="77777777" w:rsidR="00903D22" w:rsidRDefault="00903D22">
      <w:pPr>
        <w:rPr>
          <w:rFonts w:ascii="Times New Roman" w:hAnsi="Times New Roman"/>
          <w:sz w:val="28"/>
        </w:rPr>
      </w:pPr>
    </w:p>
    <w:p w14:paraId="7189B773" w14:textId="246D1B99" w:rsidR="00903D22" w:rsidRDefault="00A439D1">
      <w:pPr>
        <w:shd w:val="clear" w:color="auto" w:fill="FFFFFF"/>
        <w:jc w:val="both"/>
        <w:textAlignment w:val="baseline"/>
      </w:pPr>
      <w:r>
        <w:rPr>
          <w:rFonts w:ascii="Times New Roman" w:hAnsi="Times New Roman"/>
          <w:sz w:val="28"/>
        </w:rPr>
        <w:t xml:space="preserve">          1. Внести изменения в </w:t>
      </w:r>
      <w:r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proofErr w:type="gramStart"/>
      <w:r w:rsidR="00031282">
        <w:rPr>
          <w:rFonts w:ascii="Times New Roman" w:hAnsi="Times New Roman"/>
          <w:sz w:val="28"/>
          <w:szCs w:val="28"/>
        </w:rPr>
        <w:t>Белопрудского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на 2022 год, утвержденную постановлением администрации </w:t>
      </w:r>
      <w:proofErr w:type="spellStart"/>
      <w:r w:rsidR="00031282">
        <w:rPr>
          <w:rFonts w:ascii="Times New Roman" w:hAnsi="Times New Roman"/>
          <w:sz w:val="28"/>
          <w:szCs w:val="28"/>
        </w:rPr>
        <w:t>Белопрудского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Даниловского муниципального района Волгоградской области от </w:t>
      </w:r>
      <w:r w:rsidR="00552DC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2.1</w:t>
      </w:r>
      <w:r w:rsidR="00552D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.2021 года №5</w:t>
      </w:r>
      <w:r w:rsidR="00552DC5">
        <w:rPr>
          <w:rFonts w:ascii="Times New Roman" w:hAnsi="Times New Roman"/>
          <w:sz w:val="28"/>
          <w:szCs w:val="28"/>
        </w:rPr>
        <w:t>6-п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(далее – Программа):</w:t>
      </w:r>
    </w:p>
    <w:p w14:paraId="7189B774" w14:textId="77777777" w:rsidR="00903D22" w:rsidRDefault="00903D22">
      <w:pPr>
        <w:shd w:val="clear" w:color="auto" w:fill="FFFFFF"/>
        <w:jc w:val="both"/>
        <w:textAlignment w:val="baseline"/>
        <w:rPr>
          <w:rFonts w:ascii="Times New Roman" w:hAnsi="Times New Roman"/>
          <w:sz w:val="28"/>
        </w:rPr>
      </w:pPr>
    </w:p>
    <w:p w14:paraId="7189B775" w14:textId="02645D3D" w:rsidR="00903D22" w:rsidRDefault="00A439D1">
      <w:pPr>
        <w:pStyle w:val="a9"/>
        <w:numPr>
          <w:ilvl w:val="1"/>
          <w:numId w:val="1"/>
        </w:numPr>
        <w:shd w:val="clear" w:color="auto" w:fill="FFFFFF"/>
        <w:jc w:val="both"/>
        <w:textAlignment w:val="baseline"/>
      </w:pPr>
      <w:r>
        <w:rPr>
          <w:rFonts w:ascii="Times New Roman" w:hAnsi="Times New Roman"/>
          <w:sz w:val="28"/>
        </w:rPr>
        <w:t>Раздел 1 Программы дополнить абзацами следующего содержания:</w:t>
      </w:r>
    </w:p>
    <w:p w14:paraId="7189B776" w14:textId="5F59A834" w:rsidR="00903D22" w:rsidRDefault="00A439D1">
      <w:pPr>
        <w:pStyle w:val="a5"/>
        <w:ind w:firstLine="567"/>
        <w:jc w:val="both"/>
      </w:pPr>
      <w:r>
        <w:rPr>
          <w:rFonts w:cs="Arial"/>
          <w:i w:val="0"/>
          <w:color w:val="000000"/>
        </w:rPr>
        <w:t xml:space="preserve">В течении 2021 года администрацией плановые проверки по соблюдению </w:t>
      </w:r>
      <w:r>
        <w:rPr>
          <w:rFonts w:cs="Arial"/>
          <w:i w:val="0"/>
          <w:color w:val="000000"/>
        </w:rPr>
        <w:lastRenderedPageBreak/>
        <w:t>действующего законодательства Российской Федерации в указанной сфере не проводились</w:t>
      </w:r>
      <w:r>
        <w:rPr>
          <w:rFonts w:cs="Arial"/>
          <w:i w:val="0"/>
          <w:color w:val="000000"/>
          <w:highlight w:val="white"/>
        </w:rPr>
        <w:t> </w:t>
      </w:r>
      <w:r>
        <w:rPr>
          <w:rFonts w:cs="Arial"/>
          <w:i w:val="0"/>
          <w:color w:val="000000"/>
        </w:rPr>
        <w:t>в связи с отсутствием на территории поселения юридических лиц и индивидуальных предпринимателей, осуществляющих соблюдение обязательных требований.</w:t>
      </w:r>
    </w:p>
    <w:p w14:paraId="7189B777" w14:textId="44EB9F48" w:rsidR="00903D22" w:rsidRDefault="00A439D1">
      <w:pPr>
        <w:pStyle w:val="a5"/>
        <w:widowControl/>
        <w:ind w:firstLine="555"/>
        <w:jc w:val="both"/>
        <w:rPr>
          <w:rFonts w:cs="Arial"/>
          <w:i w:val="0"/>
          <w:color w:val="55308D"/>
        </w:rPr>
      </w:pPr>
      <w:r>
        <w:rPr>
          <w:rFonts w:cs="Arial"/>
          <w:i w:val="0"/>
          <w:color w:val="000000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14:paraId="7189B778" w14:textId="77777777" w:rsidR="00903D22" w:rsidRDefault="00A439D1">
      <w:pPr>
        <w:pStyle w:val="a5"/>
        <w:widowControl/>
        <w:ind w:firstLine="567"/>
        <w:jc w:val="both"/>
      </w:pPr>
      <w:r>
        <w:rPr>
          <w:rFonts w:cs="Arial"/>
          <w:i w:val="0"/>
          <w:color w:val="000000"/>
        </w:rPr>
        <w:t>1) Информирование - 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контроля;</w:t>
      </w:r>
    </w:p>
    <w:p w14:paraId="7189B779" w14:textId="77777777" w:rsidR="00903D22" w:rsidRDefault="00A439D1">
      <w:pPr>
        <w:pStyle w:val="a5"/>
        <w:widowControl/>
        <w:shd w:val="clear" w:color="auto" w:fill="FFFFFF"/>
        <w:ind w:firstLine="567"/>
        <w:jc w:val="both"/>
        <w:textAlignment w:val="baseline"/>
        <w:outlineLvl w:val="0"/>
      </w:pPr>
      <w:r>
        <w:rPr>
          <w:rFonts w:cs="Arial"/>
          <w:i w:val="0"/>
          <w:iCs w:val="0"/>
          <w:color w:val="000000"/>
        </w:rPr>
        <w:t>2) Консультирование. Обращения в течении 2021 не поступали.</w:t>
      </w:r>
      <w:r>
        <w:rPr>
          <w:bCs/>
          <w:color w:val="000000"/>
        </w:rPr>
        <w:t xml:space="preserve">     </w:t>
      </w:r>
    </w:p>
    <w:p w14:paraId="7189B77A" w14:textId="77777777" w:rsidR="00903D22" w:rsidRDefault="00903D22">
      <w:pPr>
        <w:pStyle w:val="a9"/>
        <w:shd w:val="clear" w:color="auto" w:fill="FFFFFF"/>
        <w:ind w:left="1425"/>
        <w:jc w:val="both"/>
        <w:textAlignment w:val="baseline"/>
        <w:rPr>
          <w:rFonts w:ascii="Times New Roman" w:hAnsi="Times New Roman"/>
          <w:sz w:val="28"/>
        </w:rPr>
      </w:pPr>
    </w:p>
    <w:p w14:paraId="7189B77B" w14:textId="77777777" w:rsidR="00903D22" w:rsidRDefault="00A439D1">
      <w:pPr>
        <w:pStyle w:val="a9"/>
        <w:numPr>
          <w:ilvl w:val="1"/>
          <w:numId w:val="1"/>
        </w:numPr>
        <w:shd w:val="clear" w:color="auto" w:fill="FFFFFF"/>
        <w:jc w:val="both"/>
        <w:textAlignment w:val="baseline"/>
      </w:pPr>
      <w:r>
        <w:rPr>
          <w:rFonts w:ascii="Times New Roman" w:hAnsi="Times New Roman"/>
          <w:sz w:val="28"/>
        </w:rPr>
        <w:t xml:space="preserve">Раздел 2 изложить в новой редакции: </w:t>
      </w:r>
    </w:p>
    <w:p w14:paraId="7189B77C" w14:textId="77777777" w:rsidR="00903D22" w:rsidRDefault="00A439D1">
      <w:pPr>
        <w:spacing w:line="480" w:lineRule="auto"/>
        <w:ind w:right="478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«Раздел 2. Цели и задачи реализации программы профилактики</w:t>
      </w:r>
    </w:p>
    <w:p w14:paraId="7189B77D" w14:textId="77777777" w:rsidR="00903D22" w:rsidRDefault="00A439D1">
      <w:pPr>
        <w:spacing w:line="240" w:lineRule="auto"/>
        <w:ind w:firstLine="709"/>
        <w:jc w:val="both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Целями программы профилактики являются:</w:t>
      </w:r>
    </w:p>
    <w:p w14:paraId="7189B77E" w14:textId="77777777" w:rsidR="00903D22" w:rsidRDefault="00A439D1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7189B77F" w14:textId="77777777" w:rsidR="00903D22" w:rsidRDefault="00A439D1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б) снижение административной нагрузки на подконтрольные субъекты;</w:t>
      </w:r>
    </w:p>
    <w:p w14:paraId="7189B780" w14:textId="77777777" w:rsidR="00903D22" w:rsidRDefault="00A439D1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в) создание мотивации к добросовестному поведению подконтрольных субъектов;</w:t>
      </w:r>
    </w:p>
    <w:p w14:paraId="7189B781" w14:textId="77777777" w:rsidR="00903D22" w:rsidRDefault="00A439D1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г) снижение уровня вреда (ущерба), причиняемого охраняемым законом ценностям.</w:t>
      </w:r>
    </w:p>
    <w:p w14:paraId="7189B782" w14:textId="77777777" w:rsidR="00903D22" w:rsidRDefault="00903D22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7189B783" w14:textId="77777777" w:rsidR="00903D22" w:rsidRDefault="00A439D1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Задачами программы профилактики являются:</w:t>
      </w:r>
    </w:p>
    <w:p w14:paraId="7189B784" w14:textId="77777777" w:rsidR="00903D22" w:rsidRDefault="00A439D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а) укрепление системы профилактики нарушений</w:t>
      </w:r>
      <w:r>
        <w:rPr>
          <w:rFonts w:ascii="Times New Roman" w:hAnsi="Times New Roman"/>
          <w:sz w:val="28"/>
          <w:szCs w:val="28"/>
        </w:rPr>
        <w:t xml:space="preserve"> обязательных требований;</w:t>
      </w:r>
    </w:p>
    <w:p w14:paraId="7189B785" w14:textId="77777777" w:rsidR="00903D22" w:rsidRDefault="00A439D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7189B786" w14:textId="77777777" w:rsidR="00903D22" w:rsidRDefault="00A439D1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в) повышение правосознания и правовой культуры подконтрольных субъектов.»;</w:t>
      </w:r>
    </w:p>
    <w:p w14:paraId="7189B787" w14:textId="77777777" w:rsidR="00903D22" w:rsidRDefault="00903D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89B788" w14:textId="77777777" w:rsidR="00903D22" w:rsidRDefault="00903D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89B789" w14:textId="77777777" w:rsidR="00903D22" w:rsidRDefault="00903D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89B78A" w14:textId="77777777" w:rsidR="00903D22" w:rsidRDefault="00903D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89B78B" w14:textId="77777777" w:rsidR="00903D22" w:rsidRDefault="00903D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89B78C" w14:textId="77777777" w:rsidR="00903D22" w:rsidRDefault="00A439D1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1.3. Раздел 3 Программы изложить в новой редакции:</w:t>
      </w:r>
    </w:p>
    <w:p w14:paraId="7189B78D" w14:textId="77777777" w:rsidR="00903D22" w:rsidRDefault="00903D22">
      <w:pPr>
        <w:ind w:firstLine="709"/>
        <w:jc w:val="both"/>
        <w:rPr>
          <w:rFonts w:ascii="Times New Roman" w:hAnsi="Times New Roman"/>
          <w:sz w:val="28"/>
        </w:rPr>
      </w:pPr>
    </w:p>
    <w:p w14:paraId="7189B78E" w14:textId="77777777" w:rsidR="00903D22" w:rsidRDefault="00A439D1">
      <w:pPr>
        <w:spacing w:before="198"/>
        <w:ind w:right="711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«Раздел 3. Перечень профилактических мероприятий, сроки(периодичность) их проведения:</w:t>
      </w:r>
    </w:p>
    <w:p w14:paraId="7189B78F" w14:textId="77777777" w:rsidR="00903D22" w:rsidRDefault="00903D22">
      <w:pPr>
        <w:pStyle w:val="a5"/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2818"/>
        <w:gridCol w:w="3581"/>
        <w:gridCol w:w="2727"/>
      </w:tblGrid>
      <w:tr w:rsidR="00903D22" w14:paraId="7189B794" w14:textId="77777777">
        <w:trPr>
          <w:trHeight w:val="3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90" w14:textId="77777777" w:rsidR="00903D22" w:rsidRDefault="00A439D1">
            <w:pPr>
              <w:jc w:val="both"/>
              <w:rPr>
                <w:sz w:val="20"/>
              </w:rPr>
            </w:pPr>
            <w:bookmarkStart w:id="0" w:name="%2525D0%2525A0%2525D0%2525B0%2525D0%2525"/>
            <w:bookmarkEnd w:id="0"/>
            <w:r>
              <w:rPr>
                <w:rFonts w:ascii="Times New Roman" w:hAnsi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91" w14:textId="77777777" w:rsidR="00903D22" w:rsidRDefault="00A439D1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92" w14:textId="77777777" w:rsidR="00903D22" w:rsidRDefault="00A439D1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(периодичность) проведения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93" w14:textId="77777777" w:rsidR="00903D22" w:rsidRDefault="00A439D1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Структурное подразделение, ответственное за реализацию</w:t>
            </w:r>
          </w:p>
        </w:tc>
      </w:tr>
      <w:tr w:rsidR="00903D22" w14:paraId="7189B7A0" w14:textId="77777777">
        <w:trPr>
          <w:trHeight w:val="495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95" w14:textId="77777777" w:rsidR="00903D22" w:rsidRDefault="00A439D1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96" w14:textId="77777777" w:rsidR="00903D22" w:rsidRDefault="00A439D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Информирование</w:t>
            </w:r>
          </w:p>
          <w:p w14:paraId="7189B797" w14:textId="77777777" w:rsidR="00903D22" w:rsidRDefault="00A439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14:paraId="7189B798" w14:textId="77777777" w:rsidR="00903D22" w:rsidRDefault="00A439D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рамках настоящего профилактического мероприятия, контрольный орган осуществляет:</w:t>
            </w:r>
          </w:p>
          <w:p w14:paraId="7189B799" w14:textId="77777777" w:rsidR="00903D22" w:rsidRDefault="00A439D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-разработку схем и/или инфографики, содержащей основные требования </w:t>
            </w:r>
          </w:p>
          <w:p w14:paraId="7189B79A" w14:textId="77777777" w:rsidR="00903D22" w:rsidRDefault="00A439D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14:paraId="7189B79B" w14:textId="77777777" w:rsidR="00903D22" w:rsidRDefault="00A439D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14:paraId="7189B79C" w14:textId="77777777" w:rsidR="00903D22" w:rsidRDefault="00A439D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его должностных лиц;</w:t>
            </w:r>
          </w:p>
          <w:p w14:paraId="7189B79D" w14:textId="77777777" w:rsidR="00903D22" w:rsidRDefault="00A439D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9E" w14:textId="77777777" w:rsidR="00903D22" w:rsidRDefault="00A439D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9F" w14:textId="2C6E26C0" w:rsidR="00903D22" w:rsidRDefault="00A439D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031282">
              <w:rPr>
                <w:rFonts w:ascii="Times New Roman" w:hAnsi="Times New Roman"/>
                <w:sz w:val="18"/>
                <w:szCs w:val="18"/>
              </w:rPr>
              <w:t>Белопрудского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903D22" w14:paraId="7189B7A9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A1" w14:textId="77777777" w:rsidR="00903D22" w:rsidRDefault="00A439D1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A2" w14:textId="77777777" w:rsidR="00903D22" w:rsidRDefault="00A439D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Обобщение правоприменительной практики</w:t>
            </w:r>
          </w:p>
          <w:p w14:paraId="7189B7A3" w14:textId="77777777" w:rsidR="00903D22" w:rsidRDefault="00A439D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правоприменительной практики осуществляется администрацией посредством сбора и анализа данных о проведенных контрольных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мероприятиях и их результатах.</w:t>
            </w:r>
          </w:p>
          <w:p w14:paraId="7189B7A4" w14:textId="458757E0" w:rsidR="00903D22" w:rsidRDefault="00A439D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A5" w14:textId="77777777" w:rsidR="00903D22" w:rsidRDefault="00A439D1">
            <w:pPr>
              <w:pStyle w:val="HTML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  <w:p w14:paraId="7189B7A6" w14:textId="77777777" w:rsidR="00903D22" w:rsidRDefault="00903D22">
            <w:pPr>
              <w:pStyle w:val="HTML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189B7A7" w14:textId="77777777" w:rsidR="00903D22" w:rsidRDefault="00903D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A8" w14:textId="31B17635" w:rsidR="00903D22" w:rsidRDefault="00A439D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proofErr w:type="spellStart"/>
            <w:r w:rsidR="00031282">
              <w:rPr>
                <w:rFonts w:ascii="Times New Roman" w:hAnsi="Times New Roman"/>
                <w:sz w:val="18"/>
                <w:szCs w:val="18"/>
              </w:rPr>
              <w:t>Белопрудского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903D22" w14:paraId="7189B7B0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AA" w14:textId="77777777" w:rsidR="00903D22" w:rsidRDefault="00A439D1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AB" w14:textId="77777777" w:rsidR="00903D22" w:rsidRDefault="00A439D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Объявление предостережения</w:t>
            </w:r>
          </w:p>
          <w:p w14:paraId="7189B7AC" w14:textId="77777777" w:rsidR="00903D22" w:rsidRDefault="00A43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7189B7AD" w14:textId="77777777" w:rsidR="00903D22" w:rsidRDefault="00903D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AE" w14:textId="57C1EBFE" w:rsidR="00903D22" w:rsidRDefault="00A439D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поступления сведений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AF" w14:textId="16F7F4A4" w:rsidR="00903D22" w:rsidRDefault="00A439D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proofErr w:type="spellStart"/>
            <w:r w:rsidR="00031282">
              <w:rPr>
                <w:rFonts w:ascii="Times New Roman" w:hAnsi="Times New Roman"/>
                <w:sz w:val="18"/>
                <w:szCs w:val="18"/>
              </w:rPr>
              <w:t>Белопрудского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903D22" w14:paraId="7189B7BD" w14:textId="77777777">
        <w:trPr>
          <w:trHeight w:val="1839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B1" w14:textId="77777777" w:rsidR="00903D22" w:rsidRDefault="00A439D1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B2" w14:textId="77777777" w:rsidR="00903D22" w:rsidRDefault="00A439D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  <w:p w14:paraId="7189B7B3" w14:textId="77777777" w:rsidR="00903D22" w:rsidRDefault="00A439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 осуществляется в устной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</w:t>
            </w:r>
          </w:p>
          <w:p w14:paraId="7189B7B4" w14:textId="77777777" w:rsidR="00903D22" w:rsidRDefault="00A439D1">
            <w:pPr>
              <w:pStyle w:val="ConsPlusNormal"/>
              <w:ind w:right="13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189B7B5" w14:textId="77777777" w:rsidR="00903D22" w:rsidRDefault="00A439D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 осуществляется по таким вопроса как:</w:t>
            </w:r>
          </w:p>
          <w:p w14:paraId="7189B7B6" w14:textId="77777777" w:rsidR="00903D22" w:rsidRDefault="00A439D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порядок обжалования решений Контрольного органа;</w:t>
            </w:r>
          </w:p>
          <w:p w14:paraId="7189B7B7" w14:textId="77777777" w:rsidR="00903D22" w:rsidRDefault="00A439D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сроки проведения контрольных мероприятий.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B8" w14:textId="77777777" w:rsidR="00903D22" w:rsidRDefault="00A439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поступления обращений контролируемых лиц или их представителей</w:t>
            </w:r>
          </w:p>
          <w:p w14:paraId="7189B7B9" w14:textId="77777777" w:rsidR="00903D22" w:rsidRDefault="00A439D1">
            <w:pPr>
              <w:pStyle w:val="a5"/>
              <w:jc w:val="both"/>
              <w:rPr>
                <w:i w:val="0"/>
                <w:color w:val="000000"/>
                <w:sz w:val="18"/>
                <w:szCs w:val="18"/>
              </w:rPr>
            </w:pPr>
            <w:r>
              <w:rPr>
                <w:i w:val="0"/>
                <w:color w:val="000000"/>
                <w:sz w:val="18"/>
                <w:szCs w:val="18"/>
              </w:rPr>
              <w:t>При устном обращении лица, нуждающегося в консультировании</w:t>
            </w:r>
          </w:p>
          <w:p w14:paraId="7189B7BA" w14:textId="77777777" w:rsidR="00903D22" w:rsidRDefault="00A439D1">
            <w:pPr>
              <w:pStyle w:val="a5"/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14:paraId="7189B7BB" w14:textId="77777777" w:rsidR="00903D22" w:rsidRDefault="00903D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BC" w14:textId="23891C54" w:rsidR="00903D22" w:rsidRDefault="00A439D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proofErr w:type="spellStart"/>
            <w:r w:rsidR="00031282">
              <w:rPr>
                <w:rFonts w:ascii="Times New Roman" w:hAnsi="Times New Roman"/>
                <w:sz w:val="18"/>
                <w:szCs w:val="18"/>
              </w:rPr>
              <w:t>Белопрудского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903D22" w14:paraId="7189B7C2" w14:textId="77777777">
        <w:trPr>
          <w:trHeight w:val="183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BE" w14:textId="77777777" w:rsidR="00903D22" w:rsidRDefault="00903D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BF" w14:textId="77777777" w:rsidR="00903D22" w:rsidRDefault="00A439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Консультирование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C0" w14:textId="77777777" w:rsidR="00903D22" w:rsidRDefault="00A439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регистрации администрацией десятого однотипного обращения контролируемых лиц и их представителей </w:t>
            </w: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C1" w14:textId="77777777" w:rsidR="00903D22" w:rsidRDefault="00903D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3D22" w14:paraId="7189B7C7" w14:textId="77777777">
        <w:trPr>
          <w:trHeight w:val="183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C3" w14:textId="77777777" w:rsidR="00903D22" w:rsidRDefault="00903D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C4" w14:textId="77777777" w:rsidR="00903D22" w:rsidRDefault="00A439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Консультирование контролируемых лиц в письменной форме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C5" w14:textId="77777777" w:rsidR="00903D22" w:rsidRDefault="00A439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обращении лица, нуждающегося в консультировании, в течение 30 дней со дня регистрации Администрацией письменного обращения, если более короткий срок не предусмотрен законодательством </w:t>
            </w: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C6" w14:textId="77777777" w:rsidR="00903D22" w:rsidRDefault="00903D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3D22" w14:paraId="7189B7CC" w14:textId="77777777">
        <w:trPr>
          <w:trHeight w:val="183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C8" w14:textId="77777777" w:rsidR="00903D22" w:rsidRDefault="00903D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C9" w14:textId="77777777" w:rsidR="00903D22" w:rsidRDefault="00A439D1">
            <w:pPr>
              <w:pStyle w:val="ConsPlusNormal"/>
              <w:ind w:right="13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консультирование может осуществляться посредством проведения: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семинаров, инструктажей, тематических конференций, заседаний рабочих групп, на собраниях и сходах граждан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CA" w14:textId="77777777" w:rsidR="00903D22" w:rsidRDefault="00A439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 в части субъектов предпринимательской деятельности в день проведения собрания (конференции) граждан </w:t>
            </w: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CB" w14:textId="77777777" w:rsidR="00903D22" w:rsidRDefault="00903D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3D22" w14:paraId="7189B7D5" w14:textId="77777777">
        <w:trPr>
          <w:trHeight w:val="289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CD" w14:textId="77777777" w:rsidR="00903D22" w:rsidRDefault="00A439D1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CE" w14:textId="77777777" w:rsidR="00903D22" w:rsidRDefault="00A439D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Профилактический визит</w:t>
            </w:r>
          </w:p>
          <w:p w14:paraId="7189B7CF" w14:textId="77777777" w:rsidR="00903D22" w:rsidRDefault="00A439D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Профилактический визит проводится </w:t>
            </w:r>
            <w:r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инспектором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7189B7D0" w14:textId="77777777" w:rsidR="00903D22" w:rsidRDefault="00A439D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D1" w14:textId="0B5F07FB" w:rsidR="00903D22" w:rsidRDefault="00A439D1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i w:val="0"/>
                <w:color w:val="000000"/>
                <w:sz w:val="18"/>
                <w:szCs w:val="18"/>
              </w:rPr>
              <w:t>По мере необходимости, но не менее 1 профилактического визита в год</w:t>
            </w:r>
          </w:p>
          <w:p w14:paraId="7189B7D2" w14:textId="77777777" w:rsidR="00903D22" w:rsidRDefault="00903D22">
            <w:pPr>
              <w:pStyle w:val="a5"/>
              <w:widowControl/>
              <w:rPr>
                <w:color w:val="000000"/>
                <w:sz w:val="18"/>
                <w:szCs w:val="18"/>
              </w:rPr>
            </w:pPr>
          </w:p>
          <w:p w14:paraId="7189B7D3" w14:textId="77777777" w:rsidR="00903D22" w:rsidRDefault="00903D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B7D4" w14:textId="3DDB05C6" w:rsidR="00903D22" w:rsidRDefault="00A439D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proofErr w:type="spellStart"/>
            <w:r w:rsidR="00031282">
              <w:rPr>
                <w:rFonts w:ascii="Times New Roman" w:hAnsi="Times New Roman"/>
                <w:sz w:val="18"/>
                <w:szCs w:val="18"/>
              </w:rPr>
              <w:t>Белопрудского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</w:tbl>
    <w:p w14:paraId="7189B7D7" w14:textId="77777777" w:rsidR="00903D22" w:rsidRDefault="00903D22" w:rsidP="00C16C6D">
      <w:pPr>
        <w:jc w:val="both"/>
        <w:rPr>
          <w:rFonts w:ascii="Times New Roman" w:hAnsi="Times New Roman"/>
          <w:sz w:val="28"/>
        </w:rPr>
      </w:pPr>
    </w:p>
    <w:p w14:paraId="7189B7D8" w14:textId="77777777" w:rsidR="00903D22" w:rsidRDefault="00A439D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с момента его официального обнародования. </w:t>
      </w:r>
    </w:p>
    <w:p w14:paraId="7189B7D9" w14:textId="77777777" w:rsidR="00903D22" w:rsidRDefault="00A439D1">
      <w:pPr>
        <w:ind w:firstLine="709"/>
        <w:jc w:val="both"/>
      </w:pPr>
      <w:r>
        <w:rPr>
          <w:rFonts w:ascii="Times New Roman" w:hAnsi="Times New Roman"/>
          <w:sz w:val="28"/>
        </w:rPr>
        <w:t xml:space="preserve">3. Контроль за исполнением настоящего постановления оставляю за собой. </w:t>
      </w:r>
    </w:p>
    <w:p w14:paraId="7189B7DA" w14:textId="77777777" w:rsidR="00903D22" w:rsidRDefault="00903D22">
      <w:pPr>
        <w:ind w:firstLine="709"/>
        <w:jc w:val="both"/>
        <w:rPr>
          <w:rFonts w:ascii="Times New Roman" w:hAnsi="Times New Roman"/>
          <w:sz w:val="28"/>
        </w:rPr>
      </w:pPr>
    </w:p>
    <w:p w14:paraId="7189B7DB" w14:textId="49082978" w:rsidR="00903D22" w:rsidRDefault="00A439D1">
      <w:pPr>
        <w:jc w:val="both"/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 w:rsidR="00031282">
        <w:rPr>
          <w:rFonts w:ascii="Times New Roman" w:hAnsi="Times New Roman"/>
          <w:sz w:val="28"/>
        </w:rPr>
        <w:t>Белопрудского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14:paraId="7189B7DC" w14:textId="37A14490" w:rsidR="00903D22" w:rsidRDefault="00A439D1">
      <w:pPr>
        <w:jc w:val="both"/>
      </w:pP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ab/>
        <w:t xml:space="preserve">                                                  </w:t>
      </w:r>
      <w:proofErr w:type="spellStart"/>
      <w:r w:rsidR="004460F7">
        <w:rPr>
          <w:rFonts w:ascii="Times New Roman" w:hAnsi="Times New Roman"/>
          <w:sz w:val="28"/>
        </w:rPr>
        <w:t>В.Н.Серебряков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7189B7DD" w14:textId="77777777" w:rsidR="00903D22" w:rsidRDefault="00903D22"/>
    <w:sectPr w:rsidR="00903D22" w:rsidSect="0062717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D008B"/>
    <w:multiLevelType w:val="multilevel"/>
    <w:tmpl w:val="1E96CB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" w15:restartNumberingAfterBreak="0">
    <w:nsid w:val="67F9132A"/>
    <w:multiLevelType w:val="multilevel"/>
    <w:tmpl w:val="A73891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66639377">
    <w:abstractNumId w:val="0"/>
  </w:num>
  <w:num w:numId="2" w16cid:durableId="1360930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22"/>
    <w:rsid w:val="00031282"/>
    <w:rsid w:val="001A6EBD"/>
    <w:rsid w:val="001F36FA"/>
    <w:rsid w:val="00301BCC"/>
    <w:rsid w:val="004460F7"/>
    <w:rsid w:val="00552DC5"/>
    <w:rsid w:val="00627174"/>
    <w:rsid w:val="006A0C2E"/>
    <w:rsid w:val="008E6F58"/>
    <w:rsid w:val="00903D22"/>
    <w:rsid w:val="00A439D1"/>
    <w:rsid w:val="00C16C6D"/>
    <w:rsid w:val="00DC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B766"/>
  <w15:docId w15:val="{FD8057AD-9FDD-4437-AEDB-2E75E139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FE7"/>
    <w:pPr>
      <w:spacing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uiPriority w:val="99"/>
    <w:qFormat/>
    <w:locked/>
    <w:rsid w:val="004871F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basedOn w:val="a0"/>
    <w:uiPriority w:val="1"/>
    <w:qFormat/>
    <w:rsid w:val="0085429F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TML">
    <w:name w:val="Стандартный HTML Знак"/>
    <w:basedOn w:val="a0"/>
    <w:uiPriority w:val="99"/>
    <w:semiHidden/>
    <w:qFormat/>
    <w:rsid w:val="008542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rsid w:val="0085429F"/>
    <w:pPr>
      <w:widowControl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Footnote">
    <w:name w:val="Footnote"/>
    <w:qFormat/>
    <w:rsid w:val="00361FE7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995EB3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4871FE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854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No Spacing"/>
    <w:qFormat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20970-38A8-41F1-AB6C-71A851F9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1286</Words>
  <Characters>7335</Characters>
  <Application>Microsoft Office Word</Application>
  <DocSecurity>0</DocSecurity>
  <Lines>61</Lines>
  <Paragraphs>17</Paragraphs>
  <ScaleCrop>false</ScaleCrop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dc:description/>
  <cp:lastModifiedBy>Надежда</cp:lastModifiedBy>
  <cp:revision>115</cp:revision>
  <cp:lastPrinted>2022-04-28T14:16:00Z</cp:lastPrinted>
  <dcterms:created xsi:type="dcterms:W3CDTF">2022-04-21T13:04:00Z</dcterms:created>
  <dcterms:modified xsi:type="dcterms:W3CDTF">2022-06-14T10:35:00Z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